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D34C" w14:textId="4EE25B1F" w:rsidR="000E6ECB" w:rsidRPr="00420D79" w:rsidRDefault="00420D79">
      <w:pPr>
        <w:rPr>
          <w:rFonts w:ascii="Times New Roman" w:hAnsi="Times New Roman" w:cs="Times New Roman"/>
          <w:b/>
          <w:bCs/>
          <w:sz w:val="24"/>
          <w:szCs w:val="24"/>
        </w:rPr>
      </w:pPr>
      <w:r w:rsidRPr="00420D79">
        <w:rPr>
          <w:rFonts w:ascii="Times New Roman" w:hAnsi="Times New Roman" w:cs="Times New Roman"/>
          <w:b/>
          <w:bCs/>
          <w:sz w:val="24"/>
          <w:szCs w:val="24"/>
        </w:rPr>
        <w:t>Research Day 202</w:t>
      </w:r>
      <w:r w:rsidR="00A80F82">
        <w:rPr>
          <w:rFonts w:ascii="Times New Roman" w:hAnsi="Times New Roman" w:cs="Times New Roman"/>
          <w:b/>
          <w:bCs/>
          <w:sz w:val="24"/>
          <w:szCs w:val="24"/>
        </w:rPr>
        <w:t>1</w:t>
      </w:r>
      <w:r w:rsidRPr="00420D79">
        <w:rPr>
          <w:rFonts w:ascii="Times New Roman" w:hAnsi="Times New Roman" w:cs="Times New Roman"/>
          <w:b/>
          <w:bCs/>
          <w:sz w:val="24"/>
          <w:szCs w:val="24"/>
        </w:rPr>
        <w:t xml:space="preserve"> Project summaries</w:t>
      </w:r>
    </w:p>
    <w:p w14:paraId="234351D9" w14:textId="01BE6C44" w:rsidR="00420D79" w:rsidRDefault="00420D79">
      <w:pPr>
        <w:rPr>
          <w:rFonts w:ascii="Times New Roman" w:hAnsi="Times New Roman" w:cs="Times New Roman"/>
        </w:rPr>
      </w:pPr>
    </w:p>
    <w:p w14:paraId="014C1E29" w14:textId="613671A3" w:rsidR="004E0BB3" w:rsidRPr="008D4CBC" w:rsidRDefault="004E0BB3">
      <w:pPr>
        <w:rPr>
          <w:rFonts w:ascii="Times New Roman" w:hAnsi="Times New Roman" w:cs="Times New Roman"/>
          <w:color w:val="0070C0"/>
          <w:sz w:val="24"/>
          <w:szCs w:val="24"/>
        </w:rPr>
      </w:pPr>
      <w:r w:rsidRPr="008D4CBC">
        <w:rPr>
          <w:rFonts w:ascii="Times New Roman" w:hAnsi="Times New Roman" w:cs="Times New Roman"/>
          <w:color w:val="0070C0"/>
          <w:sz w:val="24"/>
          <w:szCs w:val="24"/>
        </w:rPr>
        <w:t xml:space="preserve">Research Day Speaker: Richard </w:t>
      </w:r>
      <w:proofErr w:type="spellStart"/>
      <w:r w:rsidRPr="008D4CBC">
        <w:rPr>
          <w:rFonts w:ascii="Times New Roman" w:hAnsi="Times New Roman" w:cs="Times New Roman"/>
          <w:color w:val="0070C0"/>
          <w:sz w:val="24"/>
          <w:szCs w:val="24"/>
        </w:rPr>
        <w:t>Thakor</w:t>
      </w:r>
      <w:proofErr w:type="spellEnd"/>
      <w:r w:rsidRPr="008D4CBC">
        <w:rPr>
          <w:rFonts w:ascii="Times New Roman" w:hAnsi="Times New Roman" w:cs="Times New Roman"/>
          <w:color w:val="0070C0"/>
          <w:sz w:val="24"/>
          <w:szCs w:val="24"/>
        </w:rPr>
        <w:t>, Ph.D.:</w:t>
      </w:r>
    </w:p>
    <w:p w14:paraId="00B264C4" w14:textId="4A8F2447" w:rsidR="00F43689" w:rsidRPr="00F43689" w:rsidRDefault="00F43689">
      <w:pPr>
        <w:rPr>
          <w:rFonts w:ascii="Times New Roman" w:hAnsi="Times New Roman" w:cs="Times New Roman"/>
          <w:b/>
          <w:bCs/>
          <w:sz w:val="24"/>
          <w:szCs w:val="24"/>
        </w:rPr>
      </w:pPr>
      <w:r w:rsidRPr="00F43689">
        <w:rPr>
          <w:rFonts w:ascii="Times New Roman" w:hAnsi="Times New Roman" w:cs="Times New Roman"/>
          <w:b/>
          <w:bCs/>
          <w:sz w:val="24"/>
          <w:szCs w:val="24"/>
        </w:rPr>
        <w:t>Title: Liquidity Windfalls and Reallocation: Evidence from Farming and Fracking</w:t>
      </w:r>
    </w:p>
    <w:p w14:paraId="1AB47391" w14:textId="4865BD1C" w:rsidR="00CE4707" w:rsidRPr="00036922" w:rsidRDefault="00CE4707" w:rsidP="00036922">
      <w:pPr>
        <w:jc w:val="both"/>
        <w:rPr>
          <w:rFonts w:ascii="Times New Roman" w:hAnsi="Times New Roman" w:cs="Times New Roman"/>
          <w:sz w:val="24"/>
          <w:szCs w:val="24"/>
        </w:rPr>
      </w:pPr>
      <w:r w:rsidRPr="00036922">
        <w:rPr>
          <w:rFonts w:ascii="Times New Roman" w:hAnsi="Times New Roman" w:cs="Times New Roman"/>
          <w:sz w:val="24"/>
          <w:szCs w:val="24"/>
        </w:rPr>
        <w:t>Financing frictions may create a misallocation of assets in a market, thus depressing output, productivity, and asset values. This paper empirically explores how liquidity shocks generate a reallocation effect that diminishes this misallocation. Using a unique dataset of agricultural outcomes, I explore how farmers respond to a relaxation of financial constraints through a liquidity shock unrelated to farming fundamentals, namely exogenous cash inflows caused by an expansion of hydraulic fracturing (fracking) leases. Farmers who receive positive cash flow shocks increase their land purchases, which results in a reallocation effect. Examining cross- county purchases, I find that farmers in high-productivity counties who receive cash flow shocks buy farmland in low-productivity counties. In contrast, farmers in low-productivity areas who receive positive cash flow shocks do not engage in similar behavior. Moreover, farmers increase their purchases of vacant (undeveloped) land. Average output, productivity, equipment investment, and profits all increase substantially following these positive cash flow shocks. Farmland prices also rise significantly, consistent with a cash-in-the-market pricing effect. These effects are consistent with an efficient reallocation of land towards more productive users.</w:t>
      </w:r>
    </w:p>
    <w:p w14:paraId="400A9EEB" w14:textId="77777777" w:rsidR="004E0BB3" w:rsidRPr="00420D79" w:rsidRDefault="004E0BB3">
      <w:pPr>
        <w:rPr>
          <w:rFonts w:ascii="Times New Roman" w:hAnsi="Times New Roman" w:cs="Times New Roman"/>
        </w:rPr>
      </w:pPr>
    </w:p>
    <w:p w14:paraId="179818C9" w14:textId="79201B1E" w:rsidR="00BC5B8F" w:rsidRDefault="00BC5B8F" w:rsidP="00BC5B8F">
      <w:pPr>
        <w:rPr>
          <w:rFonts w:ascii="Times New Roman" w:hAnsi="Times New Roman" w:cs="Times New Roman"/>
          <w:color w:val="0070C0"/>
          <w:sz w:val="24"/>
          <w:szCs w:val="24"/>
        </w:rPr>
      </w:pPr>
      <w:r w:rsidRPr="00420D79">
        <w:rPr>
          <w:rFonts w:ascii="Times New Roman" w:hAnsi="Times New Roman" w:cs="Times New Roman"/>
          <w:color w:val="0070C0"/>
          <w:sz w:val="24"/>
          <w:szCs w:val="24"/>
        </w:rPr>
        <w:t>Y20</w:t>
      </w:r>
      <w:r>
        <w:rPr>
          <w:rFonts w:ascii="Times New Roman" w:hAnsi="Times New Roman" w:cs="Times New Roman"/>
          <w:color w:val="0070C0"/>
          <w:sz w:val="24"/>
          <w:szCs w:val="24"/>
        </w:rPr>
        <w:t>20</w:t>
      </w:r>
      <w:r w:rsidRPr="00420D79">
        <w:rPr>
          <w:rFonts w:ascii="Times New Roman" w:hAnsi="Times New Roman" w:cs="Times New Roman"/>
          <w:color w:val="0070C0"/>
          <w:sz w:val="24"/>
          <w:szCs w:val="24"/>
        </w:rPr>
        <w:t>-202</w:t>
      </w:r>
      <w:r>
        <w:rPr>
          <w:rFonts w:ascii="Times New Roman" w:hAnsi="Times New Roman" w:cs="Times New Roman"/>
          <w:color w:val="0070C0"/>
          <w:sz w:val="24"/>
          <w:szCs w:val="24"/>
        </w:rPr>
        <w:t>1</w:t>
      </w:r>
      <w:r w:rsidRPr="00420D79">
        <w:rPr>
          <w:rFonts w:ascii="Times New Roman" w:hAnsi="Times New Roman" w:cs="Times New Roman"/>
          <w:color w:val="0070C0"/>
          <w:sz w:val="24"/>
          <w:szCs w:val="24"/>
        </w:rPr>
        <w:t xml:space="preserve"> Research Award Recipients:</w:t>
      </w:r>
    </w:p>
    <w:p w14:paraId="5253D6DD" w14:textId="77777777" w:rsidR="005612BB" w:rsidRPr="005612BB" w:rsidRDefault="005612BB" w:rsidP="005612BB">
      <w:pPr>
        <w:rPr>
          <w:rFonts w:ascii="Times New Roman" w:hAnsi="Times New Roman" w:cs="Times New Roman"/>
          <w:color w:val="0070C0"/>
          <w:sz w:val="24"/>
          <w:szCs w:val="24"/>
        </w:rPr>
      </w:pPr>
      <w:r w:rsidRPr="005612BB">
        <w:rPr>
          <w:rFonts w:ascii="Times New Roman" w:hAnsi="Times New Roman" w:cs="Times New Roman"/>
          <w:color w:val="0070C0"/>
          <w:sz w:val="24"/>
          <w:szCs w:val="24"/>
        </w:rPr>
        <w:t>Dr. Leon Chen – Department of Finance</w:t>
      </w:r>
    </w:p>
    <w:p w14:paraId="7566CA5A" w14:textId="77777777" w:rsidR="005612BB" w:rsidRPr="00A13FF3" w:rsidRDefault="005612BB" w:rsidP="00391B4C">
      <w:pPr>
        <w:autoSpaceDE w:val="0"/>
        <w:autoSpaceDN w:val="0"/>
        <w:adjustRightInd w:val="0"/>
        <w:spacing w:after="0" w:line="240" w:lineRule="auto"/>
        <w:rPr>
          <w:rFonts w:ascii="Times New Roman" w:hAnsi="Times New Roman" w:cs="Times New Roman"/>
          <w:b/>
          <w:bCs/>
          <w:sz w:val="24"/>
          <w:szCs w:val="24"/>
        </w:rPr>
      </w:pPr>
      <w:r w:rsidRPr="00A13FF3">
        <w:rPr>
          <w:rFonts w:ascii="Times New Roman" w:hAnsi="Times New Roman" w:cs="Times New Roman"/>
          <w:b/>
          <w:bCs/>
          <w:sz w:val="24"/>
          <w:szCs w:val="24"/>
        </w:rPr>
        <w:t>Project title: Making Financing and Investing Decisions with Asymmetric Information –</w:t>
      </w:r>
      <w:r>
        <w:rPr>
          <w:rFonts w:ascii="Times New Roman" w:hAnsi="Times New Roman" w:cs="Times New Roman"/>
          <w:b/>
          <w:bCs/>
          <w:sz w:val="24"/>
          <w:szCs w:val="24"/>
        </w:rPr>
        <w:t xml:space="preserve"> </w:t>
      </w:r>
      <w:r w:rsidRPr="00A13FF3">
        <w:rPr>
          <w:rFonts w:ascii="Times New Roman" w:hAnsi="Times New Roman" w:cs="Times New Roman"/>
          <w:b/>
          <w:bCs/>
          <w:sz w:val="24"/>
          <w:szCs w:val="24"/>
        </w:rPr>
        <w:t>A Classroom Simulation Game</w:t>
      </w:r>
    </w:p>
    <w:p w14:paraId="036DD862" w14:textId="77777777" w:rsidR="005612BB" w:rsidRPr="00A13FF3" w:rsidRDefault="005612BB" w:rsidP="005612BB">
      <w:pPr>
        <w:pStyle w:val="ListParagraph"/>
        <w:jc w:val="center"/>
        <w:rPr>
          <w:rFonts w:ascii="Times New Roman" w:hAnsi="Times New Roman" w:cs="Times New Roman"/>
          <w:b/>
          <w:bCs/>
          <w:sz w:val="24"/>
          <w:szCs w:val="24"/>
        </w:rPr>
      </w:pPr>
    </w:p>
    <w:p w14:paraId="2812DA7B" w14:textId="77777777" w:rsidR="005612BB" w:rsidRDefault="005612BB" w:rsidP="005612BB">
      <w:pPr>
        <w:jc w:val="both"/>
        <w:rPr>
          <w:rFonts w:ascii="Times New Roman" w:hAnsi="Times New Roman" w:cs="Times New Roman"/>
          <w:sz w:val="24"/>
          <w:szCs w:val="24"/>
        </w:rPr>
      </w:pPr>
      <w:r w:rsidRPr="00A13FF3">
        <w:rPr>
          <w:rFonts w:ascii="Times New Roman" w:hAnsi="Times New Roman" w:cs="Times New Roman"/>
          <w:sz w:val="24"/>
          <w:szCs w:val="24"/>
        </w:rPr>
        <w:t>One key teaching area of an introductory or intermediate undergraduate finance course is on the concepts of debt and equity, and the valuation problems based on their risk and return characteristics. This paper first introduces a classroom-based simulation game that can help students reinforce these concepts through an interactive experience. The second purpose of the paper is to use the game as an experimental tool to shed light on the corporate capital structure decision with asymmetric information. In corporate finance, the problem of firm capital structure is still intensely debated. It starts with Modigliani and Miller (1958) capital structure irrelevance proposition under perfect market conditions. However, the market penalizes the issuance of equity if managers know more about the firm than other market participants, and thus equity issuance should be used as the last resort (pecking order theory). Since the empirical evidence is mixed and limited, the results of the simulation game can potentially offer additional insights.</w:t>
      </w:r>
    </w:p>
    <w:p w14:paraId="7A3CD7FA" w14:textId="77777777" w:rsidR="00A80F82" w:rsidRDefault="00A80F82" w:rsidP="005612BB">
      <w:pPr>
        <w:rPr>
          <w:rFonts w:ascii="Times New Roman" w:hAnsi="Times New Roman" w:cs="Times New Roman"/>
          <w:color w:val="0070C0"/>
          <w:sz w:val="24"/>
          <w:szCs w:val="24"/>
        </w:rPr>
      </w:pPr>
    </w:p>
    <w:p w14:paraId="479E0126" w14:textId="77777777" w:rsidR="00A80F82" w:rsidRDefault="00A80F82" w:rsidP="005612BB">
      <w:pPr>
        <w:rPr>
          <w:rFonts w:ascii="Times New Roman" w:hAnsi="Times New Roman" w:cs="Times New Roman"/>
          <w:color w:val="0070C0"/>
          <w:sz w:val="24"/>
          <w:szCs w:val="24"/>
        </w:rPr>
      </w:pPr>
    </w:p>
    <w:p w14:paraId="40CCA172" w14:textId="0B36927A" w:rsidR="005612BB" w:rsidRPr="005612BB" w:rsidRDefault="005612BB" w:rsidP="005612BB">
      <w:pPr>
        <w:rPr>
          <w:rFonts w:ascii="Times New Roman" w:hAnsi="Times New Roman" w:cs="Times New Roman"/>
          <w:color w:val="0070C0"/>
          <w:sz w:val="24"/>
          <w:szCs w:val="24"/>
        </w:rPr>
      </w:pPr>
      <w:r w:rsidRPr="005612BB">
        <w:rPr>
          <w:rFonts w:ascii="Times New Roman" w:hAnsi="Times New Roman" w:cs="Times New Roman"/>
          <w:color w:val="0070C0"/>
          <w:sz w:val="24"/>
          <w:szCs w:val="24"/>
        </w:rPr>
        <w:lastRenderedPageBreak/>
        <w:t>Dr. Shane Bowyer – Department of Management</w:t>
      </w:r>
    </w:p>
    <w:p w14:paraId="765FC928" w14:textId="77777777" w:rsidR="005612BB" w:rsidRPr="005612BB" w:rsidRDefault="005612BB" w:rsidP="005612BB">
      <w:pPr>
        <w:rPr>
          <w:rFonts w:ascii="Times New Roman" w:hAnsi="Times New Roman" w:cs="Times New Roman"/>
          <w:b/>
          <w:bCs/>
          <w:sz w:val="24"/>
          <w:szCs w:val="24"/>
        </w:rPr>
      </w:pPr>
      <w:r w:rsidRPr="005612BB">
        <w:rPr>
          <w:rFonts w:ascii="Times New Roman" w:hAnsi="Times New Roman" w:cs="Times New Roman"/>
          <w:b/>
          <w:bCs/>
          <w:sz w:val="24"/>
          <w:szCs w:val="24"/>
        </w:rPr>
        <w:t xml:space="preserve">Project title: </w:t>
      </w:r>
      <w:r w:rsidRPr="005612BB">
        <w:rPr>
          <w:rFonts w:ascii="TimesNewRomanPS-ItalicMT" w:hAnsi="TimesNewRomanPS-ItalicMT" w:cs="TimesNewRomanPS-ItalicMT"/>
          <w:b/>
          <w:bCs/>
          <w:sz w:val="24"/>
          <w:szCs w:val="24"/>
        </w:rPr>
        <w:t>Agriculture gigs: Motivations and hurdles in the current economy</w:t>
      </w:r>
    </w:p>
    <w:p w14:paraId="613AC22E" w14:textId="77777777" w:rsidR="005612BB" w:rsidRPr="00B91EE9" w:rsidRDefault="005612BB" w:rsidP="005612BB">
      <w:pPr>
        <w:jc w:val="both"/>
        <w:rPr>
          <w:rFonts w:ascii="Times New Roman" w:hAnsi="Times New Roman" w:cs="Times New Roman"/>
          <w:sz w:val="24"/>
          <w:szCs w:val="24"/>
        </w:rPr>
      </w:pPr>
      <w:r w:rsidRPr="00B91EE9">
        <w:rPr>
          <w:rFonts w:ascii="Times New Roman" w:hAnsi="Times New Roman" w:cs="Times New Roman"/>
          <w:sz w:val="24"/>
          <w:szCs w:val="24"/>
        </w:rPr>
        <w:t>The gig economy has seemed to become more prevalent in the past decade because of advances with technology and the use of social media to promote services. However, gigs, which are often referred to as side-hustles or off-farm income in the agriculture realm, have been around the farm for many decades. Yet, research concerning the side-hustles of farmers is limited, and agricultural reports have mostly focused on the dollar amount of off-farm income without getting into specifics of what farmers are doing or addressing issues. This research explores in more detail the types of farmers’ entrepreneurial activities, motivations, and barriers. The goal of the research is to provide insight into the history of farmer side-hustles and possibly identify barriers which could be addressed to help them be more successful.</w:t>
      </w:r>
    </w:p>
    <w:p w14:paraId="26384045" w14:textId="77777777" w:rsidR="005612BB" w:rsidRDefault="005612BB" w:rsidP="005612BB">
      <w:pPr>
        <w:pStyle w:val="ListParagraph"/>
        <w:jc w:val="both"/>
        <w:rPr>
          <w:rFonts w:ascii="Times New Roman" w:hAnsi="Times New Roman" w:cs="Times New Roman"/>
          <w:sz w:val="24"/>
          <w:szCs w:val="24"/>
        </w:rPr>
      </w:pPr>
    </w:p>
    <w:p w14:paraId="57065D93" w14:textId="77777777" w:rsidR="005612BB" w:rsidRPr="005612BB" w:rsidRDefault="005612BB" w:rsidP="005612BB">
      <w:pPr>
        <w:rPr>
          <w:rFonts w:ascii="Times New Roman" w:hAnsi="Times New Roman" w:cs="Times New Roman"/>
          <w:color w:val="0070C0"/>
          <w:sz w:val="24"/>
          <w:szCs w:val="24"/>
        </w:rPr>
      </w:pPr>
      <w:r w:rsidRPr="005612BB">
        <w:rPr>
          <w:rFonts w:ascii="Times New Roman" w:hAnsi="Times New Roman" w:cs="Times New Roman"/>
          <w:color w:val="0070C0"/>
          <w:sz w:val="24"/>
          <w:szCs w:val="24"/>
        </w:rPr>
        <w:t>Dr. Angela Titi Amayah – Department of Management</w:t>
      </w:r>
    </w:p>
    <w:p w14:paraId="2A40A752" w14:textId="77777777" w:rsidR="005612BB" w:rsidRDefault="005612BB" w:rsidP="005612BB">
      <w:pPr>
        <w:spacing w:after="0" w:line="240" w:lineRule="auto"/>
        <w:rPr>
          <w:rFonts w:ascii="Times New Roman" w:hAnsi="Times New Roman" w:cs="Times New Roman"/>
          <w:b/>
          <w:sz w:val="24"/>
          <w:szCs w:val="24"/>
        </w:rPr>
      </w:pPr>
      <w:r w:rsidRPr="00A13FF3">
        <w:rPr>
          <w:rFonts w:ascii="Times New Roman" w:hAnsi="Times New Roman" w:cs="Times New Roman"/>
          <w:b/>
          <w:bCs/>
          <w:sz w:val="24"/>
          <w:szCs w:val="24"/>
        </w:rPr>
        <w:t>Project title:</w:t>
      </w:r>
      <w:r>
        <w:rPr>
          <w:rFonts w:ascii="Times New Roman" w:hAnsi="Times New Roman" w:cs="Times New Roman"/>
          <w:b/>
          <w:bCs/>
          <w:sz w:val="24"/>
          <w:szCs w:val="24"/>
        </w:rPr>
        <w:t xml:space="preserve"> </w:t>
      </w:r>
      <w:r>
        <w:rPr>
          <w:rFonts w:ascii="Times New Roman" w:hAnsi="Times New Roman" w:cs="Times New Roman"/>
          <w:b/>
          <w:sz w:val="24"/>
          <w:szCs w:val="24"/>
        </w:rPr>
        <w:t>The role of indigenous knowledge in indigenous entrepreneurship</w:t>
      </w:r>
    </w:p>
    <w:p w14:paraId="0D5FC33E" w14:textId="77777777" w:rsidR="005612BB" w:rsidRDefault="005612BB" w:rsidP="005612BB">
      <w:pPr>
        <w:spacing w:after="0" w:line="240" w:lineRule="auto"/>
        <w:rPr>
          <w:rFonts w:ascii="Times New Roman" w:hAnsi="Times New Roman" w:cs="Times New Roman"/>
          <w:sz w:val="24"/>
          <w:szCs w:val="24"/>
        </w:rPr>
      </w:pPr>
    </w:p>
    <w:p w14:paraId="2DD1DBD2" w14:textId="77777777" w:rsidR="005612BB" w:rsidRDefault="005612BB" w:rsidP="005612BB">
      <w:pPr>
        <w:spacing w:after="0" w:line="240" w:lineRule="auto"/>
        <w:jc w:val="both"/>
        <w:rPr>
          <w:rFonts w:ascii="Times New Roman" w:hAnsi="Times New Roman" w:cs="Times New Roman"/>
          <w:sz w:val="24"/>
          <w:szCs w:val="24"/>
        </w:rPr>
      </w:pPr>
      <w:r w:rsidRPr="00D011F0">
        <w:rPr>
          <w:rFonts w:ascii="Times New Roman" w:hAnsi="Times New Roman" w:cs="Times New Roman"/>
          <w:sz w:val="24"/>
          <w:szCs w:val="24"/>
        </w:rPr>
        <w:t>Indigenous knowledge is local knowledge aggregated by communities over generations, reflecting many years of experimentation and innovation in all aspects of life</w:t>
      </w:r>
      <w:r>
        <w:rPr>
          <w:rFonts w:ascii="Times New Roman" w:hAnsi="Times New Roman" w:cs="Times New Roman"/>
          <w:sz w:val="24"/>
          <w:szCs w:val="24"/>
        </w:rPr>
        <w:t xml:space="preserve"> (Mehta, Alter, </w:t>
      </w:r>
      <w:proofErr w:type="spellStart"/>
      <w:r>
        <w:rPr>
          <w:rFonts w:ascii="Times New Roman" w:hAnsi="Times New Roman" w:cs="Times New Roman"/>
          <w:sz w:val="24"/>
          <w:szCs w:val="24"/>
        </w:rPr>
        <w:t>Semali</w:t>
      </w:r>
      <w:proofErr w:type="spellEnd"/>
      <w:r>
        <w:rPr>
          <w:rFonts w:ascii="Times New Roman" w:hAnsi="Times New Roman" w:cs="Times New Roman"/>
          <w:sz w:val="24"/>
          <w:szCs w:val="24"/>
        </w:rPr>
        <w:t>,</w:t>
      </w:r>
      <w:r w:rsidRPr="00D011F0">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D011F0">
        <w:rPr>
          <w:rFonts w:ascii="Times New Roman" w:hAnsi="Times New Roman" w:cs="Times New Roman"/>
          <w:sz w:val="24"/>
          <w:szCs w:val="24"/>
        </w:rPr>
        <w:t>Maretzki</w:t>
      </w:r>
      <w:proofErr w:type="spellEnd"/>
      <w:r>
        <w:rPr>
          <w:rFonts w:ascii="Times New Roman" w:hAnsi="Times New Roman" w:cs="Times New Roman"/>
          <w:sz w:val="24"/>
          <w:szCs w:val="24"/>
        </w:rPr>
        <w:t>, 2013)</w:t>
      </w:r>
      <w:r w:rsidRPr="00D011F0">
        <w:rPr>
          <w:rFonts w:ascii="Times New Roman" w:hAnsi="Times New Roman" w:cs="Times New Roman"/>
          <w:sz w:val="24"/>
          <w:szCs w:val="24"/>
        </w:rPr>
        <w:t>.</w:t>
      </w:r>
      <w:r>
        <w:rPr>
          <w:rFonts w:ascii="Times New Roman" w:hAnsi="Times New Roman" w:cs="Times New Roman"/>
          <w:sz w:val="24"/>
          <w:szCs w:val="24"/>
        </w:rPr>
        <w:t xml:space="preserve"> Indigenous knowledge is </w:t>
      </w:r>
      <w:r w:rsidRPr="002475EE">
        <w:rPr>
          <w:rFonts w:ascii="Times New Roman" w:hAnsi="Times New Roman" w:cs="Times New Roman"/>
          <w:sz w:val="24"/>
          <w:szCs w:val="24"/>
        </w:rPr>
        <w:t xml:space="preserve">local, particular to a place, </w:t>
      </w:r>
      <w:r>
        <w:rPr>
          <w:rFonts w:ascii="Times New Roman" w:hAnsi="Times New Roman" w:cs="Times New Roman"/>
          <w:sz w:val="24"/>
          <w:szCs w:val="24"/>
        </w:rPr>
        <w:t xml:space="preserve">and generated by people living in those </w:t>
      </w:r>
      <w:r w:rsidRPr="002475EE">
        <w:rPr>
          <w:rFonts w:ascii="Times New Roman" w:hAnsi="Times New Roman" w:cs="Times New Roman"/>
          <w:sz w:val="24"/>
          <w:szCs w:val="24"/>
        </w:rPr>
        <w:t>places</w:t>
      </w:r>
      <w:r>
        <w:rPr>
          <w:rFonts w:ascii="Times New Roman" w:hAnsi="Times New Roman" w:cs="Times New Roman"/>
          <w:sz w:val="24"/>
          <w:szCs w:val="24"/>
        </w:rPr>
        <w:t xml:space="preserve"> (Ellen &amp; Harris, 2000)</w:t>
      </w:r>
      <w:r w:rsidRPr="002475EE">
        <w:rPr>
          <w:rFonts w:ascii="Times New Roman" w:hAnsi="Times New Roman" w:cs="Times New Roman"/>
          <w:sz w:val="24"/>
          <w:szCs w:val="24"/>
        </w:rPr>
        <w:t>.</w:t>
      </w:r>
      <w:r>
        <w:rPr>
          <w:rFonts w:ascii="Times New Roman" w:hAnsi="Times New Roman" w:cs="Times New Roman"/>
          <w:sz w:val="24"/>
          <w:szCs w:val="24"/>
        </w:rPr>
        <w:t xml:space="preserve"> It is transmitted orally or through imitation and demonstration and is the consequence of practical engagement in everyday life where it is reinforced by </w:t>
      </w:r>
      <w:r w:rsidRPr="002475EE">
        <w:rPr>
          <w:rFonts w:ascii="Times New Roman" w:hAnsi="Times New Roman" w:cs="Times New Roman"/>
          <w:sz w:val="24"/>
          <w:szCs w:val="24"/>
        </w:rPr>
        <w:t>expe</w:t>
      </w:r>
      <w:r>
        <w:rPr>
          <w:rFonts w:ascii="Times New Roman" w:hAnsi="Times New Roman" w:cs="Times New Roman"/>
          <w:sz w:val="24"/>
          <w:szCs w:val="24"/>
        </w:rPr>
        <w:t>rience, trial and error, and deliberate</w:t>
      </w:r>
      <w:r w:rsidRPr="002475EE">
        <w:rPr>
          <w:rFonts w:ascii="Times New Roman" w:hAnsi="Times New Roman" w:cs="Times New Roman"/>
          <w:sz w:val="24"/>
          <w:szCs w:val="24"/>
        </w:rPr>
        <w:t xml:space="preserve"> experiment.</w:t>
      </w:r>
      <w:r>
        <w:rPr>
          <w:rFonts w:ascii="Times New Roman" w:hAnsi="Times New Roman" w:cs="Times New Roman"/>
          <w:sz w:val="24"/>
          <w:szCs w:val="24"/>
        </w:rPr>
        <w:t xml:space="preserve"> </w:t>
      </w:r>
      <w:r w:rsidRPr="00312E7D">
        <w:rPr>
          <w:rFonts w:ascii="Times New Roman" w:hAnsi="Times New Roman" w:cs="Times New Roman"/>
          <w:sz w:val="24"/>
          <w:szCs w:val="24"/>
        </w:rPr>
        <w:t>Indigenous entrepreneurship can be understood as the creation, management and development of new ventures by indigenous people for the benefit of i</w:t>
      </w:r>
      <w:r>
        <w:rPr>
          <w:rFonts w:ascii="Times New Roman" w:hAnsi="Times New Roman" w:cs="Times New Roman"/>
          <w:sz w:val="24"/>
          <w:szCs w:val="24"/>
        </w:rPr>
        <w:t xml:space="preserve">ndigenous </w:t>
      </w:r>
      <w:r w:rsidRPr="004B50BC">
        <w:rPr>
          <w:rFonts w:ascii="Times New Roman" w:hAnsi="Times New Roman" w:cs="Times New Roman"/>
          <w:sz w:val="24"/>
          <w:szCs w:val="24"/>
        </w:rPr>
        <w:t>people (Lindsay, 2005, p. 1). Indigenous entrepreneurs represent a significant proportion of the population in developing countries. Those indigenous entrepreneurs usually operate in the informal sector of the economy. Indigenous entrepreneurs generate innovations from resources that abound in their environment (Gupta et al., 2003).  Data will be gathered from indigenous entrepreneurs through interviews to examine and better understand</w:t>
      </w:r>
      <w:r>
        <w:rPr>
          <w:rFonts w:ascii="Times New Roman" w:hAnsi="Times New Roman" w:cs="Times New Roman"/>
          <w:sz w:val="24"/>
          <w:szCs w:val="24"/>
        </w:rPr>
        <w:t xml:space="preserve"> </w:t>
      </w:r>
      <w:r w:rsidRPr="004B50BC">
        <w:rPr>
          <w:rFonts w:ascii="Times New Roman" w:hAnsi="Times New Roman" w:cs="Times New Roman"/>
          <w:sz w:val="24"/>
          <w:szCs w:val="24"/>
        </w:rPr>
        <w:t>the role of indigenous knowledge, values, languages and institutions in indigenous entrepreneurship, innovation and enterprise development</w:t>
      </w:r>
      <w:r>
        <w:rPr>
          <w:rFonts w:ascii="Times New Roman" w:hAnsi="Times New Roman" w:cs="Times New Roman"/>
          <w:sz w:val="24"/>
          <w:szCs w:val="24"/>
        </w:rPr>
        <w:t>.</w:t>
      </w:r>
    </w:p>
    <w:p w14:paraId="66EAC6E7" w14:textId="77777777" w:rsidR="005612BB" w:rsidRDefault="005612BB" w:rsidP="005612BB">
      <w:pPr>
        <w:spacing w:after="0" w:line="240" w:lineRule="auto"/>
        <w:jc w:val="both"/>
        <w:rPr>
          <w:rFonts w:ascii="Times New Roman" w:hAnsi="Times New Roman" w:cs="Times New Roman"/>
          <w:sz w:val="24"/>
          <w:szCs w:val="24"/>
        </w:rPr>
      </w:pPr>
    </w:p>
    <w:p w14:paraId="57DD6DEC" w14:textId="77777777" w:rsidR="005612BB" w:rsidRPr="005612BB" w:rsidRDefault="005612BB" w:rsidP="005612BB">
      <w:pPr>
        <w:rPr>
          <w:rFonts w:ascii="Times New Roman" w:hAnsi="Times New Roman" w:cs="Times New Roman"/>
          <w:color w:val="0070C0"/>
          <w:sz w:val="24"/>
          <w:szCs w:val="24"/>
        </w:rPr>
      </w:pPr>
      <w:r w:rsidRPr="005612BB">
        <w:rPr>
          <w:rFonts w:ascii="Times New Roman" w:hAnsi="Times New Roman" w:cs="Times New Roman"/>
          <w:color w:val="0070C0"/>
          <w:sz w:val="24"/>
          <w:szCs w:val="24"/>
        </w:rPr>
        <w:t>Dr. Oksana Kim – Department of Accounting and Business Law</w:t>
      </w:r>
    </w:p>
    <w:p w14:paraId="64CEE70D" w14:textId="1C466BE1" w:rsidR="005612BB" w:rsidRPr="00EF457B" w:rsidRDefault="005612BB" w:rsidP="005612BB">
      <w:pPr>
        <w:spacing w:after="0" w:line="240" w:lineRule="auto"/>
        <w:rPr>
          <w:rFonts w:ascii="Times New Roman" w:hAnsi="Times New Roman" w:cs="Times New Roman"/>
          <w:b/>
          <w:bCs/>
          <w:sz w:val="24"/>
          <w:szCs w:val="24"/>
        </w:rPr>
      </w:pPr>
      <w:r w:rsidRPr="00EF457B">
        <w:rPr>
          <w:rFonts w:ascii="Times New Roman" w:hAnsi="Times New Roman" w:cs="Times New Roman"/>
          <w:b/>
          <w:bCs/>
          <w:sz w:val="24"/>
          <w:szCs w:val="24"/>
        </w:rPr>
        <w:t xml:space="preserve">Project title: </w:t>
      </w:r>
      <w:r w:rsidR="00A80F82">
        <w:rPr>
          <w:rFonts w:ascii="Times New Roman" w:hAnsi="Times New Roman" w:cs="Times New Roman"/>
          <w:b/>
          <w:bCs/>
          <w:sz w:val="24"/>
          <w:szCs w:val="24"/>
        </w:rPr>
        <w:t>Protectionism through legislative layering.</w:t>
      </w:r>
    </w:p>
    <w:p w14:paraId="7082C246" w14:textId="77777777" w:rsidR="005612BB" w:rsidRDefault="005612BB" w:rsidP="005612BB">
      <w:pPr>
        <w:jc w:val="both"/>
        <w:rPr>
          <w:rFonts w:ascii="Times New Roman" w:hAnsi="Times New Roman" w:cs="Times New Roman"/>
          <w:sz w:val="24"/>
          <w:szCs w:val="24"/>
        </w:rPr>
      </w:pPr>
    </w:p>
    <w:p w14:paraId="538C3566" w14:textId="3E4BB42F" w:rsidR="00557A7E" w:rsidRPr="00557A7E" w:rsidRDefault="00557A7E" w:rsidP="00557A7E">
      <w:pPr>
        <w:spacing w:line="240" w:lineRule="auto"/>
        <w:jc w:val="both"/>
        <w:rPr>
          <w:rFonts w:ascii="Times New Roman" w:hAnsi="Times New Roman" w:cs="Times New Roman"/>
          <w:sz w:val="24"/>
          <w:szCs w:val="24"/>
        </w:rPr>
      </w:pPr>
      <w:r w:rsidRPr="00557A7E">
        <w:rPr>
          <w:rFonts w:ascii="Times New Roman" w:hAnsi="Times New Roman" w:cs="Times New Roman"/>
          <w:sz w:val="24"/>
          <w:szCs w:val="24"/>
        </w:rPr>
        <w:t xml:space="preserve">Protectionism is on the rise. Although it tends to be associated with tariffs on imports, governments are increasingly applying other mechanisms to influence international business. Import substitution policies have been used to replace </w:t>
      </w:r>
      <w:r w:rsidRPr="00557A7E">
        <w:rPr>
          <w:rFonts w:ascii="Times New Roman" w:hAnsi="Times New Roman" w:cs="Times New Roman"/>
          <w:color w:val="222222"/>
          <w:sz w:val="24"/>
          <w:szCs w:val="24"/>
          <w:shd w:val="clear" w:color="auto" w:fill="FFFFFF"/>
        </w:rPr>
        <w:t xml:space="preserve">purchases from foreign producers with local alternatives. Russia implemented import substitution through </w:t>
      </w:r>
      <w:r w:rsidRPr="00557A7E">
        <w:rPr>
          <w:rFonts w:ascii="Times New Roman" w:hAnsi="Times New Roman" w:cs="Times New Roman"/>
          <w:iCs/>
          <w:color w:val="222222"/>
          <w:sz w:val="24"/>
          <w:szCs w:val="24"/>
          <w:shd w:val="clear" w:color="auto" w:fill="FFFFFF"/>
        </w:rPr>
        <w:t>legislative layering</w:t>
      </w:r>
      <w:r w:rsidRPr="00557A7E">
        <w:rPr>
          <w:rFonts w:ascii="Times New Roman" w:hAnsi="Times New Roman" w:cs="Times New Roman"/>
          <w:color w:val="222222"/>
          <w:sz w:val="24"/>
          <w:szCs w:val="24"/>
          <w:shd w:val="clear" w:color="auto" w:fill="FFFFFF"/>
        </w:rPr>
        <w:t xml:space="preserve"> where layers of regulation created increasing requirements targeting different industries and companies. We are interested in effects of such policies on the Big 4, global professional service firms, and the choice of auditors by partially privatized enterprises (PPEs). We utilize multiple agency perspective to obtain insights into agency challenges and conflicts of interest in PPEs. </w:t>
      </w:r>
      <w:r w:rsidRPr="00557A7E">
        <w:rPr>
          <w:rFonts w:ascii="Times New Roman" w:hAnsi="Times New Roman" w:cs="Times New Roman"/>
          <w:sz w:val="24"/>
          <w:szCs w:val="24"/>
        </w:rPr>
        <w:t xml:space="preserve">We find that companies </w:t>
      </w:r>
      <w:r w:rsidRPr="00557A7E">
        <w:rPr>
          <w:rFonts w:ascii="Times New Roman" w:hAnsi="Times New Roman" w:cs="Times New Roman"/>
          <w:sz w:val="24"/>
          <w:szCs w:val="24"/>
        </w:rPr>
        <w:lastRenderedPageBreak/>
        <w:t xml:space="preserve">with significant state ownership were more likely to switch away from the Big 4. In the post import substitution period, PPEs were less likely to get modified opinion on IFRS audits. The likelihood of leaving the Big 4, firms positioned as foreign in Russia, was strengthened for PPEs in strategic industries. The policy contributed to companies switching from the Big 4 to the next tier of audit firms. However, such auditor changes did not occur at the cross-listed enterprises due to additional monitoring. </w:t>
      </w:r>
    </w:p>
    <w:p w14:paraId="0BC12361" w14:textId="0BFDBDC4" w:rsidR="005612BB" w:rsidRDefault="005612BB" w:rsidP="005612BB">
      <w:pPr>
        <w:jc w:val="both"/>
        <w:rPr>
          <w:rFonts w:ascii="Times New Roman" w:hAnsi="Times New Roman" w:cs="Times New Roman"/>
          <w:sz w:val="24"/>
          <w:szCs w:val="24"/>
        </w:rPr>
      </w:pPr>
    </w:p>
    <w:p w14:paraId="2065C725" w14:textId="412BEB04" w:rsidR="00E65253" w:rsidRDefault="00E65253" w:rsidP="005612BB">
      <w:pPr>
        <w:jc w:val="both"/>
        <w:rPr>
          <w:rFonts w:ascii="Times New Roman" w:hAnsi="Times New Roman" w:cs="Times New Roman"/>
          <w:b/>
          <w:bCs/>
          <w:sz w:val="24"/>
          <w:szCs w:val="24"/>
        </w:rPr>
      </w:pPr>
      <w:r w:rsidRPr="00E65253">
        <w:rPr>
          <w:rFonts w:ascii="Times New Roman" w:hAnsi="Times New Roman" w:cs="Times New Roman"/>
          <w:b/>
          <w:bCs/>
          <w:sz w:val="24"/>
          <w:szCs w:val="24"/>
        </w:rPr>
        <w:t>Sabbatical presentations:</w:t>
      </w:r>
    </w:p>
    <w:p w14:paraId="4CE3C242" w14:textId="6A8DE084" w:rsidR="00E65253" w:rsidRDefault="00E65253" w:rsidP="005612BB">
      <w:pPr>
        <w:jc w:val="both"/>
        <w:rPr>
          <w:rFonts w:ascii="Times New Roman" w:hAnsi="Times New Roman" w:cs="Times New Roman"/>
          <w:b/>
          <w:bCs/>
          <w:sz w:val="24"/>
          <w:szCs w:val="24"/>
        </w:rPr>
      </w:pPr>
    </w:p>
    <w:p w14:paraId="562C34DB" w14:textId="74D68C7D" w:rsidR="00F07C5A" w:rsidRDefault="00F07C5A" w:rsidP="00F07C5A">
      <w:pPr>
        <w:rPr>
          <w:rFonts w:ascii="Times New Roman" w:hAnsi="Times New Roman" w:cs="Times New Roman"/>
          <w:b/>
          <w:bCs/>
          <w:sz w:val="24"/>
          <w:szCs w:val="24"/>
        </w:rPr>
      </w:pPr>
      <w:r>
        <w:rPr>
          <w:rFonts w:ascii="TimesNewRomanPS-ItalicMT" w:hAnsi="TimesNewRomanPS-ItalicMT" w:cs="TimesNewRomanPS-ItalicMT"/>
          <w:sz w:val="24"/>
          <w:szCs w:val="24"/>
        </w:rPr>
        <w:t>Dr. Kevin Elliott (Department of Marketing and International Business): “</w:t>
      </w:r>
      <w:r w:rsidRPr="00E86181">
        <w:rPr>
          <w:rFonts w:ascii="Times New Roman" w:hAnsi="Times New Roman" w:cs="Times New Roman"/>
          <w:b/>
          <w:bCs/>
          <w:sz w:val="24"/>
          <w:szCs w:val="24"/>
        </w:rPr>
        <w:t>Self-</w:t>
      </w:r>
      <w:r>
        <w:rPr>
          <w:rFonts w:ascii="Times New Roman" w:hAnsi="Times New Roman" w:cs="Times New Roman"/>
          <w:b/>
          <w:bCs/>
          <w:sz w:val="24"/>
          <w:szCs w:val="24"/>
        </w:rPr>
        <w:t>d</w:t>
      </w:r>
      <w:r w:rsidRPr="00E86181">
        <w:rPr>
          <w:rFonts w:ascii="Times New Roman" w:hAnsi="Times New Roman" w:cs="Times New Roman"/>
          <w:b/>
          <w:bCs/>
          <w:sz w:val="24"/>
          <w:szCs w:val="24"/>
        </w:rPr>
        <w:t xml:space="preserve">riving </w:t>
      </w:r>
      <w:r>
        <w:rPr>
          <w:rFonts w:ascii="Times New Roman" w:hAnsi="Times New Roman" w:cs="Times New Roman"/>
          <w:b/>
          <w:bCs/>
          <w:sz w:val="24"/>
          <w:szCs w:val="24"/>
        </w:rPr>
        <w:t>v</w:t>
      </w:r>
      <w:r w:rsidRPr="00E86181">
        <w:rPr>
          <w:rFonts w:ascii="Times New Roman" w:hAnsi="Times New Roman" w:cs="Times New Roman"/>
          <w:b/>
          <w:bCs/>
          <w:sz w:val="24"/>
          <w:szCs w:val="24"/>
        </w:rPr>
        <w:t xml:space="preserve">ehicles: Factors </w:t>
      </w:r>
      <w:r>
        <w:rPr>
          <w:rFonts w:ascii="Times New Roman" w:hAnsi="Times New Roman" w:cs="Times New Roman"/>
          <w:b/>
          <w:bCs/>
          <w:sz w:val="24"/>
          <w:szCs w:val="24"/>
        </w:rPr>
        <w:t>t</w:t>
      </w:r>
      <w:r w:rsidRPr="00E86181">
        <w:rPr>
          <w:rFonts w:ascii="Times New Roman" w:hAnsi="Times New Roman" w:cs="Times New Roman"/>
          <w:b/>
          <w:bCs/>
          <w:sz w:val="24"/>
          <w:szCs w:val="24"/>
        </w:rPr>
        <w:t xml:space="preserve">hat </w:t>
      </w:r>
      <w:r>
        <w:rPr>
          <w:rFonts w:ascii="Times New Roman" w:hAnsi="Times New Roman" w:cs="Times New Roman"/>
          <w:b/>
          <w:bCs/>
          <w:sz w:val="24"/>
          <w:szCs w:val="24"/>
        </w:rPr>
        <w:t>i</w:t>
      </w:r>
      <w:r w:rsidRPr="00E86181">
        <w:rPr>
          <w:rFonts w:ascii="Times New Roman" w:hAnsi="Times New Roman" w:cs="Times New Roman"/>
          <w:b/>
          <w:bCs/>
          <w:sz w:val="24"/>
          <w:szCs w:val="24"/>
        </w:rPr>
        <w:t xml:space="preserve">mpact </w:t>
      </w:r>
      <w:r>
        <w:rPr>
          <w:rFonts w:ascii="Times New Roman" w:hAnsi="Times New Roman" w:cs="Times New Roman"/>
          <w:b/>
          <w:bCs/>
          <w:sz w:val="24"/>
          <w:szCs w:val="24"/>
        </w:rPr>
        <w:t>i</w:t>
      </w:r>
      <w:r w:rsidRPr="00E86181">
        <w:rPr>
          <w:rFonts w:ascii="Times New Roman" w:hAnsi="Times New Roman" w:cs="Times New Roman"/>
          <w:b/>
          <w:bCs/>
          <w:sz w:val="24"/>
          <w:szCs w:val="24"/>
        </w:rPr>
        <w:t xml:space="preserve">ntention to </w:t>
      </w:r>
      <w:r>
        <w:rPr>
          <w:rFonts w:ascii="Times New Roman" w:hAnsi="Times New Roman" w:cs="Times New Roman"/>
          <w:b/>
          <w:bCs/>
          <w:sz w:val="24"/>
          <w:szCs w:val="24"/>
        </w:rPr>
        <w:t>u</w:t>
      </w:r>
      <w:r w:rsidRPr="00E86181">
        <w:rPr>
          <w:rFonts w:ascii="Times New Roman" w:hAnsi="Times New Roman" w:cs="Times New Roman"/>
          <w:b/>
          <w:bCs/>
          <w:sz w:val="24"/>
          <w:szCs w:val="24"/>
        </w:rPr>
        <w:t xml:space="preserve">se and </w:t>
      </w:r>
      <w:r>
        <w:rPr>
          <w:rFonts w:ascii="Times New Roman" w:hAnsi="Times New Roman" w:cs="Times New Roman"/>
          <w:b/>
          <w:bCs/>
          <w:sz w:val="24"/>
          <w:szCs w:val="24"/>
        </w:rPr>
        <w:t>l</w:t>
      </w:r>
      <w:r w:rsidRPr="00E86181">
        <w:rPr>
          <w:rFonts w:ascii="Times New Roman" w:hAnsi="Times New Roman" w:cs="Times New Roman"/>
          <w:b/>
          <w:bCs/>
          <w:sz w:val="24"/>
          <w:szCs w:val="24"/>
        </w:rPr>
        <w:t xml:space="preserve">ikely </w:t>
      </w:r>
      <w:r>
        <w:rPr>
          <w:rFonts w:ascii="Times New Roman" w:hAnsi="Times New Roman" w:cs="Times New Roman"/>
          <w:b/>
          <w:bCs/>
          <w:sz w:val="24"/>
          <w:szCs w:val="24"/>
        </w:rPr>
        <w:t>d</w:t>
      </w:r>
      <w:r w:rsidRPr="00E86181">
        <w:rPr>
          <w:rFonts w:ascii="Times New Roman" w:hAnsi="Times New Roman" w:cs="Times New Roman"/>
          <w:b/>
          <w:bCs/>
          <w:sz w:val="24"/>
          <w:szCs w:val="24"/>
        </w:rPr>
        <w:t xml:space="preserve">river </w:t>
      </w:r>
      <w:r>
        <w:rPr>
          <w:rFonts w:ascii="Times New Roman" w:hAnsi="Times New Roman" w:cs="Times New Roman"/>
          <w:b/>
          <w:bCs/>
          <w:sz w:val="24"/>
          <w:szCs w:val="24"/>
        </w:rPr>
        <w:t>p</w:t>
      </w:r>
      <w:r w:rsidRPr="00E86181">
        <w:rPr>
          <w:rFonts w:ascii="Times New Roman" w:hAnsi="Times New Roman" w:cs="Times New Roman"/>
          <w:b/>
          <w:bCs/>
          <w:sz w:val="24"/>
          <w:szCs w:val="24"/>
        </w:rPr>
        <w:t>rofiles"</w:t>
      </w:r>
      <w:r>
        <w:rPr>
          <w:rFonts w:ascii="Times New Roman" w:hAnsi="Times New Roman" w:cs="Times New Roman"/>
          <w:b/>
          <w:bCs/>
          <w:sz w:val="24"/>
          <w:szCs w:val="24"/>
        </w:rPr>
        <w:t xml:space="preserve">. </w:t>
      </w:r>
    </w:p>
    <w:p w14:paraId="426B0621" w14:textId="77777777" w:rsidR="00141199" w:rsidRDefault="00141199" w:rsidP="00141199">
      <w:pPr>
        <w:spacing w:after="0" w:line="240" w:lineRule="auto"/>
        <w:jc w:val="both"/>
        <w:rPr>
          <w:rFonts w:ascii="Times New Roman" w:eastAsia="SimSun" w:hAnsi="Times New Roman" w:cs="Times New Roman"/>
          <w:sz w:val="24"/>
          <w:szCs w:val="24"/>
        </w:rPr>
      </w:pPr>
      <w:r w:rsidRPr="003515D4">
        <w:rPr>
          <w:rFonts w:ascii="Times New Roman" w:hAnsi="Times New Roman" w:cs="Times New Roman"/>
          <w:sz w:val="24"/>
          <w:szCs w:val="24"/>
        </w:rPr>
        <w:t xml:space="preserve">Self-driving vehicles appear to be on the horizon in the United States. </w:t>
      </w:r>
      <w:r>
        <w:rPr>
          <w:rFonts w:ascii="Times New Roman" w:hAnsi="Times New Roman" w:cs="Times New Roman"/>
          <w:sz w:val="24"/>
          <w:szCs w:val="24"/>
        </w:rPr>
        <w:t xml:space="preserve"> Important questions facing marketers are: 1) What will be key motivating factors for potential consumers when deciding whether to purchase/use a self-driving vehicle? and 2) What are the different profiles/segments of likely adopters of </w:t>
      </w:r>
      <w:r w:rsidRPr="003515D4">
        <w:rPr>
          <w:rFonts w:ascii="Times New Roman" w:hAnsi="Times New Roman" w:cs="Times New Roman"/>
          <w:bCs/>
          <w:sz w:val="24"/>
          <w:szCs w:val="24"/>
        </w:rPr>
        <w:t>self-driving</w:t>
      </w:r>
      <w:r>
        <w:rPr>
          <w:rFonts w:ascii="Times New Roman" w:hAnsi="Times New Roman" w:cs="Times New Roman"/>
          <w:bCs/>
          <w:sz w:val="24"/>
          <w:szCs w:val="24"/>
        </w:rPr>
        <w:t xml:space="preserve"> vehicles?  This</w:t>
      </w:r>
      <w:r w:rsidRPr="003515D4">
        <w:rPr>
          <w:rFonts w:ascii="Times New Roman" w:hAnsi="Times New Roman" w:cs="Times New Roman"/>
          <w:bCs/>
          <w:sz w:val="24"/>
          <w:szCs w:val="24"/>
        </w:rPr>
        <w:t xml:space="preserve"> </w:t>
      </w:r>
      <w:r>
        <w:rPr>
          <w:rFonts w:ascii="Times New Roman" w:hAnsi="Times New Roman" w:cs="Times New Roman"/>
          <w:bCs/>
          <w:sz w:val="24"/>
          <w:szCs w:val="24"/>
        </w:rPr>
        <w:t xml:space="preserve">study surveyed 1,050 consumers using </w:t>
      </w:r>
      <w:r w:rsidRPr="003515D4">
        <w:rPr>
          <w:rFonts w:ascii="Times New Roman" w:eastAsia="SimSun" w:hAnsi="Times New Roman" w:cs="Times New Roman"/>
          <w:sz w:val="24"/>
          <w:szCs w:val="24"/>
        </w:rPr>
        <w:t>Qualtrics</w:t>
      </w:r>
      <w:r>
        <w:rPr>
          <w:rFonts w:ascii="Times New Roman" w:eastAsia="SimSun" w:hAnsi="Times New Roman" w:cs="Times New Roman"/>
          <w:sz w:val="24"/>
          <w:szCs w:val="24"/>
        </w:rPr>
        <w:t xml:space="preserve">. </w:t>
      </w:r>
      <w:r w:rsidRPr="003515D4">
        <w:rPr>
          <w:rFonts w:ascii="Times New Roman" w:eastAsia="SimSun" w:hAnsi="Times New Roman" w:cs="Times New Roman"/>
          <w:sz w:val="24"/>
          <w:szCs w:val="24"/>
        </w:rPr>
        <w:t xml:space="preserve"> </w:t>
      </w:r>
      <w:r w:rsidRPr="003515D4">
        <w:rPr>
          <w:rFonts w:ascii="Times New Roman" w:hAnsi="Times New Roman" w:cs="Times New Roman"/>
          <w:sz w:val="24"/>
          <w:szCs w:val="24"/>
        </w:rPr>
        <w:t>Results show that social influence, attitude towards a self-driving vehicle, perceived safety</w:t>
      </w:r>
      <w:r>
        <w:rPr>
          <w:rFonts w:ascii="Times New Roman" w:hAnsi="Times New Roman" w:cs="Times New Roman"/>
          <w:sz w:val="24"/>
          <w:szCs w:val="24"/>
        </w:rPr>
        <w:t>, and perceived pleasure</w:t>
      </w:r>
      <w:r w:rsidRPr="003515D4">
        <w:rPr>
          <w:rFonts w:ascii="Times New Roman" w:hAnsi="Times New Roman" w:cs="Times New Roman"/>
          <w:sz w:val="24"/>
          <w:szCs w:val="24"/>
        </w:rPr>
        <w:t xml:space="preserve"> all have a direct effect on </w:t>
      </w:r>
      <w:r>
        <w:rPr>
          <w:rFonts w:ascii="Times New Roman" w:hAnsi="Times New Roman" w:cs="Times New Roman"/>
          <w:sz w:val="24"/>
          <w:szCs w:val="24"/>
        </w:rPr>
        <w:t xml:space="preserve">a potential </w:t>
      </w:r>
      <w:r w:rsidRPr="003515D4">
        <w:rPr>
          <w:rFonts w:ascii="Times New Roman" w:hAnsi="Times New Roman" w:cs="Times New Roman"/>
          <w:sz w:val="24"/>
          <w:szCs w:val="24"/>
        </w:rPr>
        <w:t>consumer</w:t>
      </w:r>
      <w:r>
        <w:rPr>
          <w:rFonts w:ascii="Times New Roman" w:hAnsi="Times New Roman" w:cs="Times New Roman"/>
          <w:sz w:val="24"/>
          <w:szCs w:val="24"/>
        </w:rPr>
        <w:t>’s</w:t>
      </w:r>
      <w:r w:rsidRPr="003515D4">
        <w:rPr>
          <w:rFonts w:ascii="Times New Roman" w:hAnsi="Times New Roman" w:cs="Times New Roman"/>
          <w:sz w:val="24"/>
          <w:szCs w:val="24"/>
        </w:rPr>
        <w:t xml:space="preserve"> intention to use a self-driving vehicle</w:t>
      </w:r>
      <w:r>
        <w:rPr>
          <w:rFonts w:ascii="Times New Roman" w:hAnsi="Times New Roman" w:cs="Times New Roman"/>
          <w:sz w:val="24"/>
          <w:szCs w:val="24"/>
        </w:rPr>
        <w:t xml:space="preserve">. Additional findings show that marketers could </w:t>
      </w:r>
      <w:r w:rsidRPr="003515D4">
        <w:rPr>
          <w:rFonts w:ascii="Times New Roman" w:hAnsi="Times New Roman" w:cs="Times New Roman"/>
          <w:sz w:val="24"/>
          <w:szCs w:val="24"/>
        </w:rPr>
        <w:t>segment users of self-driving vehicles based on the emotional states</w:t>
      </w:r>
      <w:r>
        <w:rPr>
          <w:rFonts w:ascii="Times New Roman" w:hAnsi="Times New Roman" w:cs="Times New Roman"/>
          <w:sz w:val="24"/>
          <w:szCs w:val="24"/>
        </w:rPr>
        <w:t xml:space="preserve"> of p</w:t>
      </w:r>
      <w:r w:rsidRPr="003515D4">
        <w:rPr>
          <w:rFonts w:ascii="Times New Roman" w:eastAsia="SimSun" w:hAnsi="Times New Roman" w:cs="Times New Roman"/>
          <w:sz w:val="24"/>
          <w:szCs w:val="24"/>
        </w:rPr>
        <w:t xml:space="preserve">leasure, </w:t>
      </w:r>
      <w:r>
        <w:rPr>
          <w:rFonts w:ascii="Times New Roman" w:eastAsia="SimSun" w:hAnsi="Times New Roman" w:cs="Times New Roman"/>
          <w:sz w:val="24"/>
          <w:szCs w:val="24"/>
        </w:rPr>
        <w:t>a</w:t>
      </w:r>
      <w:r w:rsidRPr="003515D4">
        <w:rPr>
          <w:rFonts w:ascii="Times New Roman" w:eastAsia="SimSun" w:hAnsi="Times New Roman" w:cs="Times New Roman"/>
          <w:sz w:val="24"/>
          <w:szCs w:val="24"/>
        </w:rPr>
        <w:t>rousal,</w:t>
      </w:r>
      <w:r>
        <w:rPr>
          <w:rFonts w:ascii="Times New Roman" w:eastAsia="SimSun" w:hAnsi="Times New Roman" w:cs="Times New Roman"/>
          <w:sz w:val="24"/>
          <w:szCs w:val="24"/>
        </w:rPr>
        <w:t xml:space="preserve"> and d</w:t>
      </w:r>
      <w:r w:rsidRPr="003515D4">
        <w:rPr>
          <w:rFonts w:ascii="Times New Roman" w:eastAsia="SimSun" w:hAnsi="Times New Roman" w:cs="Times New Roman"/>
          <w:sz w:val="24"/>
          <w:szCs w:val="24"/>
        </w:rPr>
        <w:t>ominance</w:t>
      </w:r>
      <w:r>
        <w:rPr>
          <w:rFonts w:ascii="Times New Roman" w:eastAsia="SimSun" w:hAnsi="Times New Roman" w:cs="Times New Roman"/>
          <w:sz w:val="24"/>
          <w:szCs w:val="24"/>
        </w:rPr>
        <w:t>.</w:t>
      </w:r>
      <w:r w:rsidRPr="003515D4">
        <w:rPr>
          <w:rFonts w:ascii="Times New Roman" w:eastAsia="Century" w:hAnsi="Times New Roman" w:cs="Times New Roman"/>
          <w:color w:val="000000"/>
          <w:sz w:val="24"/>
          <w:szCs w:val="24"/>
        </w:rPr>
        <w:t xml:space="preserve"> </w:t>
      </w:r>
      <w:r w:rsidRPr="003515D4">
        <w:rPr>
          <w:rFonts w:ascii="Times New Roman" w:hAnsi="Times New Roman" w:cs="Times New Roman"/>
          <w:sz w:val="24"/>
          <w:szCs w:val="24"/>
        </w:rPr>
        <w:t>Marketing implications</w:t>
      </w:r>
      <w:r>
        <w:rPr>
          <w:rFonts w:ascii="Times New Roman" w:hAnsi="Times New Roman" w:cs="Times New Roman"/>
          <w:sz w:val="24"/>
          <w:szCs w:val="24"/>
        </w:rPr>
        <w:t xml:space="preserve"> and strategies</w:t>
      </w:r>
      <w:r w:rsidRPr="003515D4">
        <w:rPr>
          <w:rFonts w:ascii="Times New Roman" w:hAnsi="Times New Roman" w:cs="Times New Roman"/>
          <w:sz w:val="24"/>
          <w:szCs w:val="24"/>
        </w:rPr>
        <w:t xml:space="preserve"> are </w:t>
      </w:r>
      <w:r>
        <w:rPr>
          <w:rFonts w:ascii="Times New Roman" w:hAnsi="Times New Roman" w:cs="Times New Roman"/>
          <w:sz w:val="24"/>
          <w:szCs w:val="24"/>
        </w:rPr>
        <w:t xml:space="preserve">provided </w:t>
      </w:r>
      <w:r w:rsidRPr="003515D4">
        <w:rPr>
          <w:rFonts w:ascii="Times New Roman" w:hAnsi="Times New Roman" w:cs="Times New Roman"/>
          <w:sz w:val="24"/>
          <w:szCs w:val="24"/>
        </w:rPr>
        <w:t>that</w:t>
      </w:r>
      <w:r>
        <w:rPr>
          <w:rFonts w:ascii="Times New Roman" w:hAnsi="Times New Roman" w:cs="Times New Roman"/>
          <w:sz w:val="24"/>
          <w:szCs w:val="24"/>
        </w:rPr>
        <w:t xml:space="preserve"> </w:t>
      </w:r>
      <w:r w:rsidRPr="003515D4">
        <w:rPr>
          <w:rFonts w:ascii="Times New Roman" w:hAnsi="Times New Roman" w:cs="Times New Roman"/>
          <w:sz w:val="24"/>
          <w:szCs w:val="24"/>
        </w:rPr>
        <w:t>should enhanc</w:t>
      </w:r>
      <w:r>
        <w:rPr>
          <w:rFonts w:ascii="Times New Roman" w:hAnsi="Times New Roman" w:cs="Times New Roman"/>
          <w:sz w:val="24"/>
          <w:szCs w:val="24"/>
        </w:rPr>
        <w:t>e</w:t>
      </w:r>
      <w:r w:rsidRPr="003515D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515D4">
        <w:rPr>
          <w:rFonts w:ascii="Times New Roman" w:hAnsi="Times New Roman" w:cs="Times New Roman"/>
          <w:sz w:val="24"/>
          <w:szCs w:val="24"/>
        </w:rPr>
        <w:t xml:space="preserve">consumer adoption </w:t>
      </w:r>
      <w:r>
        <w:rPr>
          <w:rFonts w:ascii="Times New Roman" w:hAnsi="Times New Roman" w:cs="Times New Roman"/>
          <w:sz w:val="24"/>
          <w:szCs w:val="24"/>
        </w:rPr>
        <w:t>process for</w:t>
      </w:r>
      <w:r w:rsidRPr="003515D4">
        <w:rPr>
          <w:rFonts w:ascii="Times New Roman" w:hAnsi="Times New Roman" w:cs="Times New Roman"/>
          <w:sz w:val="24"/>
          <w:szCs w:val="24"/>
        </w:rPr>
        <w:t xml:space="preserve"> self-driving vehicles </w:t>
      </w:r>
      <w:r>
        <w:rPr>
          <w:rFonts w:ascii="Times New Roman" w:hAnsi="Times New Roman" w:cs="Times New Roman"/>
          <w:sz w:val="24"/>
          <w:szCs w:val="24"/>
        </w:rPr>
        <w:t xml:space="preserve">when they become commercially available </w:t>
      </w:r>
      <w:r w:rsidRPr="003515D4">
        <w:rPr>
          <w:rFonts w:ascii="Times New Roman" w:hAnsi="Times New Roman" w:cs="Times New Roman"/>
          <w:sz w:val="24"/>
          <w:szCs w:val="24"/>
        </w:rPr>
        <w:t>within the U.S.</w:t>
      </w:r>
      <w:r>
        <w:rPr>
          <w:rFonts w:ascii="Times New Roman" w:hAnsi="Times New Roman" w:cs="Times New Roman"/>
          <w:sz w:val="24"/>
          <w:szCs w:val="24"/>
        </w:rPr>
        <w:t xml:space="preserve"> around 2030.</w:t>
      </w:r>
    </w:p>
    <w:p w14:paraId="5FEB0503" w14:textId="78F49D8E" w:rsidR="00F07C5A" w:rsidRDefault="00F07C5A" w:rsidP="005612BB">
      <w:pPr>
        <w:jc w:val="both"/>
        <w:rPr>
          <w:rFonts w:ascii="Times New Roman" w:hAnsi="Times New Roman" w:cs="Times New Roman"/>
          <w:b/>
          <w:bCs/>
          <w:sz w:val="24"/>
          <w:szCs w:val="24"/>
        </w:rPr>
      </w:pPr>
    </w:p>
    <w:p w14:paraId="18F3373D" w14:textId="1D30DEC1" w:rsidR="00A345DA" w:rsidRDefault="00F07C5A" w:rsidP="00A345DA">
      <w:r>
        <w:rPr>
          <w:rFonts w:ascii="Times New Roman" w:hAnsi="Times New Roman" w:cs="Times New Roman"/>
          <w:sz w:val="24"/>
          <w:szCs w:val="24"/>
        </w:rPr>
        <w:t>Dr. Daniel Hiebert (Department of Finance)</w:t>
      </w:r>
      <w:r>
        <w:rPr>
          <w:rFonts w:ascii="TimesNewRomanPS-ItalicMT" w:hAnsi="TimesNewRomanPS-ItalicMT" w:cs="TimesNewRomanPS-ItalicMT"/>
          <w:sz w:val="24"/>
          <w:szCs w:val="24"/>
        </w:rPr>
        <w:t xml:space="preserve">: </w:t>
      </w:r>
      <w:r w:rsidR="00C573EA">
        <w:rPr>
          <w:rFonts w:ascii="TimesNewRomanPS-ItalicMT" w:hAnsi="TimesNewRomanPS-ItalicMT" w:cs="TimesNewRomanPS-ItalicMT"/>
          <w:sz w:val="24"/>
          <w:szCs w:val="24"/>
        </w:rPr>
        <w:t>“</w:t>
      </w:r>
      <w:r w:rsidR="00A345DA" w:rsidRPr="00C573EA">
        <w:rPr>
          <w:rFonts w:ascii="Times New Roman" w:hAnsi="Times New Roman" w:cs="Times New Roman"/>
          <w:b/>
          <w:sz w:val="24"/>
          <w:szCs w:val="24"/>
        </w:rPr>
        <w:t>Emotional Attachment and the Decision by Family Business Owners to seek help from a Succession Planner</w:t>
      </w:r>
      <w:r w:rsidR="00C573EA" w:rsidRPr="00C573EA">
        <w:rPr>
          <w:rFonts w:ascii="Times New Roman" w:hAnsi="Times New Roman" w:cs="Times New Roman"/>
          <w:b/>
          <w:sz w:val="24"/>
          <w:szCs w:val="24"/>
        </w:rPr>
        <w:t>”</w:t>
      </w:r>
      <w:r w:rsidR="00C573EA">
        <w:rPr>
          <w:rFonts w:ascii="Times New Roman" w:hAnsi="Times New Roman" w:cs="Times New Roman"/>
          <w:b/>
          <w:sz w:val="24"/>
          <w:szCs w:val="24"/>
        </w:rPr>
        <w:t>.</w:t>
      </w:r>
      <w:r w:rsidR="00A345DA">
        <w:t xml:space="preserve"> </w:t>
      </w:r>
    </w:p>
    <w:p w14:paraId="1493412E" w14:textId="63BEE210" w:rsidR="00A345DA" w:rsidRPr="00A345DA" w:rsidRDefault="00A345DA" w:rsidP="00A345DA">
      <w:pPr>
        <w:pStyle w:val="Centered"/>
        <w:spacing w:line="240" w:lineRule="auto"/>
        <w:jc w:val="left"/>
        <w:rPr>
          <w:rFonts w:eastAsia="Times New Roman" w:cs="Times New Roman"/>
          <w:bCs/>
        </w:rPr>
      </w:pPr>
      <w:r w:rsidRPr="00A345DA">
        <w:rPr>
          <w:rFonts w:eastAsia="Times New Roman" w:cs="Times New Roman"/>
          <w:bCs/>
        </w:rPr>
        <w:t>A common goal of family business owners (FBOs) is to keep the business in the family and pass it on to future generations. Yet, few transitions are successful. The process of succeeding the business has many emotional and psychological components, such as behaviors, attitudes, traits and emotions that are often neglected. Professional succession planners could help FBOs navigate through these factors. However, many FBOs choose not to engage in such services, which may contribute to the problem of failed transition. This paper was a focused examination of an FBO’s emotional attachment to their firm, and the impact this had on their decision to seek help from a succession planner.</w:t>
      </w:r>
      <w:r>
        <w:rPr>
          <w:rFonts w:eastAsia="Times New Roman" w:cs="Times New Roman"/>
          <w:bCs/>
        </w:rPr>
        <w:t xml:space="preserve"> </w:t>
      </w:r>
      <w:r w:rsidRPr="00A345DA">
        <w:rPr>
          <w:rFonts w:cs="Times New Roman"/>
          <w:noProof/>
        </w:rPr>
        <w:t xml:space="preserve">Analysis from a survey of 347 FBO responses indicated a positive association between an FBO’s emotional attachment to their firm and their use of a succession planner. FBO’s who used a succession planner were also found to have less emotional attachment to their firm than those that did not. The analysis also found sufficient associative support for other variables such as behaivors, relationhsips and traits with emotional attachment being the most dominant. </w:t>
      </w:r>
    </w:p>
    <w:p w14:paraId="70385015" w14:textId="77777777" w:rsidR="00A345DA" w:rsidRPr="00A345DA" w:rsidRDefault="00A345DA" w:rsidP="00A345DA">
      <w:pPr>
        <w:pStyle w:val="Centered"/>
        <w:spacing w:line="240" w:lineRule="auto"/>
        <w:ind w:firstLine="720"/>
        <w:jc w:val="left"/>
        <w:rPr>
          <w:rFonts w:eastAsia="Arial" w:cs="Times New Roman"/>
        </w:rPr>
      </w:pPr>
    </w:p>
    <w:p w14:paraId="766EAFBA" w14:textId="77777777" w:rsidR="00A345DA" w:rsidRDefault="00A345DA" w:rsidP="00A345DA"/>
    <w:p w14:paraId="2B67CECA" w14:textId="2AE471EC" w:rsidR="00F07C5A" w:rsidRDefault="00F07C5A" w:rsidP="00F07C5A">
      <w:pPr>
        <w:rPr>
          <w:rFonts w:ascii="TimesNewRomanPS-ItalicMT" w:hAnsi="TimesNewRomanPS-ItalicMT" w:cs="TimesNewRomanPS-ItalicMT"/>
          <w:color w:val="FF0000"/>
          <w:sz w:val="24"/>
          <w:szCs w:val="24"/>
        </w:rPr>
      </w:pPr>
    </w:p>
    <w:p w14:paraId="7A395825" w14:textId="66E98D1E" w:rsidR="00F07C5A" w:rsidRDefault="00F07C5A" w:rsidP="00F07C5A">
      <w:pPr>
        <w:rPr>
          <w:rFonts w:ascii="Times New Roman" w:hAnsi="Times New Roman" w:cs="Times New Roman"/>
          <w:b/>
          <w:bCs/>
          <w:sz w:val="24"/>
          <w:szCs w:val="24"/>
        </w:rPr>
      </w:pPr>
      <w:r w:rsidRPr="00BE2781">
        <w:rPr>
          <w:rFonts w:ascii="Times New Roman" w:hAnsi="Times New Roman" w:cs="Times New Roman"/>
          <w:sz w:val="24"/>
          <w:szCs w:val="24"/>
        </w:rPr>
        <w:lastRenderedPageBreak/>
        <w:t xml:space="preserve">Dr. Ferdinand Siagian (Department of Accounting and Business Law): </w:t>
      </w:r>
      <w:r w:rsidRPr="00BE2781">
        <w:rPr>
          <w:rFonts w:ascii="Times New Roman" w:hAnsi="Times New Roman" w:cs="Times New Roman"/>
          <w:b/>
          <w:bCs/>
          <w:sz w:val="24"/>
          <w:szCs w:val="24"/>
        </w:rPr>
        <w:t>“R</w:t>
      </w:r>
      <w:r>
        <w:rPr>
          <w:rFonts w:ascii="Times New Roman" w:hAnsi="Times New Roman" w:cs="Times New Roman"/>
          <w:b/>
          <w:bCs/>
          <w:sz w:val="24"/>
          <w:szCs w:val="24"/>
        </w:rPr>
        <w:t xml:space="preserve">ethinking the role of accounting faculty in an online environment: student perception on the importance of online accounting faculty”. </w:t>
      </w:r>
    </w:p>
    <w:p w14:paraId="19952DD4" w14:textId="77777777" w:rsidR="00E75323" w:rsidRPr="00E75323" w:rsidRDefault="00E75323" w:rsidP="00E75323">
      <w:pPr>
        <w:jc w:val="both"/>
        <w:rPr>
          <w:rFonts w:ascii="Times New Roman" w:hAnsi="Times New Roman" w:cs="Times New Roman"/>
          <w:sz w:val="24"/>
          <w:szCs w:val="24"/>
        </w:rPr>
      </w:pPr>
      <w:r w:rsidRPr="00E75323">
        <w:rPr>
          <w:rFonts w:ascii="Times New Roman" w:hAnsi="Times New Roman" w:cs="Times New Roman"/>
          <w:sz w:val="24"/>
          <w:szCs w:val="24"/>
        </w:rPr>
        <w:t>Media comparison studies find that there is no significant difference in performance between distance learning (including online learning) and face-to-face students (Conger, 2005). This finding implies that students can perform equally well regardless the media of learning. This study investigates whether students believe that an accounting faculty teaching an online course can be replaced by the technology and resources provided by the publishers. We focus on the technology provided by the publisher because it is very sophisticated and is required, used, and learned by every student in the course during the pandemic. We send out questionnaires to students who take accounting classes at MNSU Mankato in the Fall 2020 and Spring 2021 to test our hypotheses.</w:t>
      </w:r>
    </w:p>
    <w:p w14:paraId="1054B042" w14:textId="77777777" w:rsidR="00E75323" w:rsidRPr="00BE2781" w:rsidRDefault="00E75323" w:rsidP="00F07C5A">
      <w:pPr>
        <w:rPr>
          <w:rFonts w:ascii="Times New Roman" w:hAnsi="Times New Roman" w:cs="Times New Roman"/>
          <w:b/>
          <w:bCs/>
          <w:sz w:val="24"/>
          <w:szCs w:val="24"/>
        </w:rPr>
      </w:pPr>
    </w:p>
    <w:p w14:paraId="453353F4" w14:textId="77777777" w:rsidR="00F07C5A" w:rsidRPr="00E65253" w:rsidRDefault="00F07C5A" w:rsidP="005612BB">
      <w:pPr>
        <w:jc w:val="both"/>
        <w:rPr>
          <w:rFonts w:ascii="Times New Roman" w:hAnsi="Times New Roman" w:cs="Times New Roman"/>
          <w:b/>
          <w:bCs/>
          <w:sz w:val="24"/>
          <w:szCs w:val="24"/>
        </w:rPr>
      </w:pPr>
    </w:p>
    <w:p w14:paraId="69977C1F" w14:textId="77777777" w:rsidR="00E91BEB" w:rsidRDefault="00E91BEB" w:rsidP="005612BB">
      <w:pPr>
        <w:jc w:val="both"/>
        <w:rPr>
          <w:rFonts w:ascii="Times New Roman" w:hAnsi="Times New Roman" w:cs="Times New Roman"/>
          <w:sz w:val="24"/>
          <w:szCs w:val="24"/>
        </w:rPr>
      </w:pPr>
    </w:p>
    <w:p w14:paraId="4EA18178" w14:textId="77777777" w:rsidR="00BC5B8F" w:rsidRPr="00420D79" w:rsidRDefault="00BC5B8F" w:rsidP="00BC5B8F">
      <w:pPr>
        <w:rPr>
          <w:rFonts w:ascii="Times New Roman" w:hAnsi="Times New Roman" w:cs="Times New Roman"/>
          <w:color w:val="0070C0"/>
          <w:sz w:val="24"/>
          <w:szCs w:val="24"/>
        </w:rPr>
      </w:pPr>
    </w:p>
    <w:p w14:paraId="4EAB2ADC" w14:textId="77777777" w:rsidR="00BC5B8F" w:rsidRDefault="00BC5B8F">
      <w:pPr>
        <w:rPr>
          <w:rFonts w:ascii="Times New Roman" w:hAnsi="Times New Roman" w:cs="Times New Roman"/>
          <w:color w:val="0070C0"/>
          <w:sz w:val="24"/>
          <w:szCs w:val="24"/>
        </w:rPr>
      </w:pPr>
    </w:p>
    <w:p w14:paraId="42FFB15B" w14:textId="77777777" w:rsidR="00BC5B8F" w:rsidRDefault="00BC5B8F">
      <w:pPr>
        <w:rPr>
          <w:rFonts w:ascii="Times New Roman" w:hAnsi="Times New Roman" w:cs="Times New Roman"/>
          <w:color w:val="0070C0"/>
          <w:sz w:val="24"/>
          <w:szCs w:val="24"/>
        </w:rPr>
      </w:pPr>
    </w:p>
    <w:p w14:paraId="0F2E5A79" w14:textId="77777777" w:rsidR="00420D79" w:rsidRPr="00420D79" w:rsidRDefault="00420D79">
      <w:pPr>
        <w:rPr>
          <w:rFonts w:ascii="Times New Roman" w:hAnsi="Times New Roman" w:cs="Times New Roman"/>
          <w:color w:val="0070C0"/>
          <w:sz w:val="24"/>
          <w:szCs w:val="24"/>
        </w:rPr>
      </w:pPr>
    </w:p>
    <w:p w14:paraId="55FE2CBE" w14:textId="77777777" w:rsidR="00420D79" w:rsidRPr="00420D79" w:rsidRDefault="00420D79">
      <w:pPr>
        <w:rPr>
          <w:rFonts w:ascii="Times New Roman" w:hAnsi="Times New Roman" w:cs="Times New Roman"/>
          <w:color w:val="0070C0"/>
          <w:sz w:val="24"/>
          <w:szCs w:val="24"/>
        </w:rPr>
      </w:pPr>
    </w:p>
    <w:sectPr w:rsidR="00420D79" w:rsidRPr="0042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79"/>
    <w:rsid w:val="00036922"/>
    <w:rsid w:val="000D30EC"/>
    <w:rsid w:val="000E6ECB"/>
    <w:rsid w:val="00141199"/>
    <w:rsid w:val="001B70B0"/>
    <w:rsid w:val="00270290"/>
    <w:rsid w:val="002D142D"/>
    <w:rsid w:val="003071D8"/>
    <w:rsid w:val="00391B4C"/>
    <w:rsid w:val="00420D79"/>
    <w:rsid w:val="004E0BB3"/>
    <w:rsid w:val="00544E51"/>
    <w:rsid w:val="00557A7E"/>
    <w:rsid w:val="005612BB"/>
    <w:rsid w:val="005634E7"/>
    <w:rsid w:val="006221EE"/>
    <w:rsid w:val="00637783"/>
    <w:rsid w:val="007D0C2B"/>
    <w:rsid w:val="008D4CBC"/>
    <w:rsid w:val="008E6A95"/>
    <w:rsid w:val="008E7BDE"/>
    <w:rsid w:val="009A3F68"/>
    <w:rsid w:val="009B5445"/>
    <w:rsid w:val="009D5749"/>
    <w:rsid w:val="00A345DA"/>
    <w:rsid w:val="00A80F82"/>
    <w:rsid w:val="00BC5B8F"/>
    <w:rsid w:val="00C573EA"/>
    <w:rsid w:val="00CA2283"/>
    <w:rsid w:val="00CB6DEA"/>
    <w:rsid w:val="00CE4707"/>
    <w:rsid w:val="00D4320A"/>
    <w:rsid w:val="00E65253"/>
    <w:rsid w:val="00E75323"/>
    <w:rsid w:val="00E91BEB"/>
    <w:rsid w:val="00F07C5A"/>
    <w:rsid w:val="00F43689"/>
    <w:rsid w:val="00FB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6D4"/>
  <w15:chartTrackingRefBased/>
  <w15:docId w15:val="{0E5E515B-AC70-4B4E-B020-97EED3D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BB"/>
    <w:pPr>
      <w:ind w:left="720"/>
      <w:contextualSpacing/>
    </w:pPr>
  </w:style>
  <w:style w:type="paragraph" w:styleId="BodyText">
    <w:name w:val="Body Text"/>
    <w:basedOn w:val="Normal"/>
    <w:link w:val="BodyTextChar"/>
    <w:uiPriority w:val="1"/>
    <w:qFormat/>
    <w:rsid w:val="00CE47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E4707"/>
    <w:rPr>
      <w:rFonts w:ascii="Times New Roman" w:eastAsia="Times New Roman" w:hAnsi="Times New Roman" w:cs="Times New Roman"/>
      <w:sz w:val="24"/>
      <w:szCs w:val="24"/>
    </w:rPr>
  </w:style>
  <w:style w:type="paragraph" w:customStyle="1" w:styleId="Centered">
    <w:name w:val="Centered"/>
    <w:basedOn w:val="Normal"/>
    <w:qFormat/>
    <w:rsid w:val="00A345DA"/>
    <w:pPr>
      <w:spacing w:after="0" w:line="48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21128">
      <w:bodyDiv w:val="1"/>
      <w:marLeft w:val="0"/>
      <w:marRight w:val="0"/>
      <w:marTop w:val="0"/>
      <w:marBottom w:val="0"/>
      <w:divBdr>
        <w:top w:val="none" w:sz="0" w:space="0" w:color="auto"/>
        <w:left w:val="none" w:sz="0" w:space="0" w:color="auto"/>
        <w:bottom w:val="none" w:sz="0" w:space="0" w:color="auto"/>
        <w:right w:val="none" w:sz="0" w:space="0" w:color="auto"/>
      </w:divBdr>
    </w:div>
    <w:div w:id="1247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Oksana</dc:creator>
  <cp:keywords/>
  <dc:description/>
  <cp:lastModifiedBy>Kim, Oksana</cp:lastModifiedBy>
  <cp:revision>2</cp:revision>
  <dcterms:created xsi:type="dcterms:W3CDTF">2021-03-22T13:55:00Z</dcterms:created>
  <dcterms:modified xsi:type="dcterms:W3CDTF">2021-03-22T13:55:00Z</dcterms:modified>
</cp:coreProperties>
</file>